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3F2" w:rsidRPr="004563F2" w:rsidRDefault="004563F2" w:rsidP="004563F2">
      <w:pPr>
        <w:spacing w:line="480" w:lineRule="auto"/>
        <w:jc w:val="center"/>
        <w:rPr>
          <w:rFonts w:ascii="Times New Roman" w:eastAsia="等线" w:hAnsi="Times New Roman" w:cs="Times New Roman"/>
          <w:b/>
          <w:sz w:val="28"/>
        </w:rPr>
      </w:pPr>
      <w:bookmarkStart w:id="0" w:name="OLE_LINK55"/>
      <w:r w:rsidRPr="004563F2">
        <w:rPr>
          <w:rFonts w:ascii="Times New Roman" w:eastAsia="等线" w:hAnsi="Times New Roman" w:cs="Times New Roman"/>
          <w:b/>
          <w:sz w:val="28"/>
        </w:rPr>
        <w:t>Aptamers Dimerization Inspired Biomimetic Clamp Assay towards Impedimetric SARS-CoV-2 Antigen Detection</w:t>
      </w:r>
    </w:p>
    <w:p w:rsidR="004563F2" w:rsidRPr="004563F2" w:rsidRDefault="004563F2" w:rsidP="004563F2">
      <w:pPr>
        <w:spacing w:line="480" w:lineRule="auto"/>
        <w:jc w:val="center"/>
        <w:rPr>
          <w:rFonts w:ascii="Times New Roman" w:eastAsia="等线" w:hAnsi="Times New Roman" w:cs="Times New Roman"/>
          <w:bCs/>
          <w:sz w:val="24"/>
          <w:vertAlign w:val="superscript"/>
        </w:rPr>
      </w:pPr>
      <w:r w:rsidRPr="004563F2">
        <w:rPr>
          <w:rFonts w:ascii="Times New Roman" w:eastAsia="等线" w:hAnsi="Times New Roman" w:cs="Times New Roman"/>
          <w:bCs/>
          <w:sz w:val="24"/>
        </w:rPr>
        <w:t xml:space="preserve">Cong </w:t>
      </w:r>
      <w:proofErr w:type="spellStart"/>
      <w:r w:rsidRPr="004563F2">
        <w:rPr>
          <w:rFonts w:ascii="Times New Roman" w:eastAsia="等线" w:hAnsi="Times New Roman" w:cs="Times New Roman"/>
          <w:bCs/>
          <w:sz w:val="24"/>
        </w:rPr>
        <w:t>Han,</w:t>
      </w:r>
      <w:r w:rsidRPr="004563F2">
        <w:rPr>
          <w:rFonts w:ascii="Times New Roman" w:eastAsia="等线" w:hAnsi="Times New Roman" w:cs="Times New Roman"/>
          <w:bCs/>
          <w:sz w:val="24"/>
          <w:vertAlign w:val="superscript"/>
        </w:rPr>
        <w:t>a</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Wenping</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Xing,</w:t>
      </w:r>
      <w:r w:rsidRPr="004563F2">
        <w:rPr>
          <w:rFonts w:ascii="Times New Roman" w:eastAsia="等线" w:hAnsi="Times New Roman" w:cs="Times New Roman"/>
          <w:bCs/>
          <w:sz w:val="24"/>
          <w:vertAlign w:val="superscript"/>
        </w:rPr>
        <w:t>b</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Wenjin</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Li,</w:t>
      </w:r>
      <w:r w:rsidRPr="004563F2">
        <w:rPr>
          <w:rFonts w:ascii="Times New Roman" w:eastAsia="等线" w:hAnsi="Times New Roman" w:cs="Times New Roman"/>
          <w:bCs/>
          <w:sz w:val="24"/>
          <w:vertAlign w:val="superscript"/>
        </w:rPr>
        <w:t>a</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Xiaona</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Fang,</w:t>
      </w:r>
      <w:r w:rsidRPr="004563F2">
        <w:rPr>
          <w:rFonts w:ascii="Times New Roman" w:eastAsia="等线" w:hAnsi="Times New Roman" w:cs="Times New Roman"/>
          <w:bCs/>
          <w:sz w:val="24"/>
          <w:vertAlign w:val="superscript"/>
        </w:rPr>
        <w:t>c</w:t>
      </w:r>
      <w:proofErr w:type="spellEnd"/>
      <w:r w:rsidRPr="004563F2">
        <w:rPr>
          <w:rFonts w:ascii="Times New Roman" w:eastAsia="等线" w:hAnsi="Times New Roman" w:cs="Times New Roman"/>
          <w:bCs/>
          <w:sz w:val="24"/>
        </w:rPr>
        <w:t xml:space="preserve"> Jian </w:t>
      </w:r>
      <w:proofErr w:type="spellStart"/>
      <w:r w:rsidRPr="004563F2">
        <w:rPr>
          <w:rFonts w:ascii="Times New Roman" w:eastAsia="等线" w:hAnsi="Times New Roman" w:cs="Times New Roman"/>
          <w:bCs/>
          <w:sz w:val="24"/>
        </w:rPr>
        <w:t>Zhao,</w:t>
      </w:r>
      <w:r w:rsidRPr="004563F2">
        <w:rPr>
          <w:rFonts w:ascii="Times New Roman" w:eastAsia="等线" w:hAnsi="Times New Roman" w:cs="Times New Roman"/>
          <w:bCs/>
          <w:sz w:val="24"/>
          <w:vertAlign w:val="superscript"/>
        </w:rPr>
        <w:t>a</w:t>
      </w:r>
      <w:proofErr w:type="spellEnd"/>
      <w:r w:rsidRPr="004563F2">
        <w:rPr>
          <w:rFonts w:ascii="Times New Roman" w:eastAsia="等线" w:hAnsi="Times New Roman" w:cs="Times New Roman"/>
          <w:bCs/>
          <w:sz w:val="24"/>
        </w:rPr>
        <w:t xml:space="preserve"> Feng </w:t>
      </w:r>
      <w:proofErr w:type="spellStart"/>
      <w:r w:rsidRPr="004563F2">
        <w:rPr>
          <w:rFonts w:ascii="Times New Roman" w:eastAsia="等线" w:hAnsi="Times New Roman" w:cs="Times New Roman"/>
          <w:bCs/>
          <w:sz w:val="24"/>
        </w:rPr>
        <w:t>Ge,</w:t>
      </w:r>
      <w:r w:rsidRPr="004563F2">
        <w:rPr>
          <w:rFonts w:ascii="Times New Roman" w:eastAsia="等线" w:hAnsi="Times New Roman" w:cs="Times New Roman"/>
          <w:bCs/>
          <w:sz w:val="24"/>
          <w:vertAlign w:val="superscript"/>
        </w:rPr>
        <w:t>d</w:t>
      </w:r>
      <w:proofErr w:type="spellEnd"/>
      <w:r w:rsidRPr="004563F2">
        <w:rPr>
          <w:rFonts w:ascii="Times New Roman" w:eastAsia="等线" w:hAnsi="Times New Roman" w:cs="Times New Roman"/>
          <w:bCs/>
          <w:sz w:val="24"/>
        </w:rPr>
        <w:t xml:space="preserve"> Wei </w:t>
      </w:r>
      <w:proofErr w:type="spellStart"/>
      <w:r w:rsidRPr="004563F2">
        <w:rPr>
          <w:rFonts w:ascii="Times New Roman" w:eastAsia="等线" w:hAnsi="Times New Roman" w:cs="Times New Roman"/>
          <w:bCs/>
          <w:sz w:val="24"/>
        </w:rPr>
        <w:t>Ding,</w:t>
      </w:r>
      <w:r w:rsidRPr="004563F2">
        <w:rPr>
          <w:rFonts w:ascii="Times New Roman" w:eastAsia="等线" w:hAnsi="Times New Roman" w:cs="Times New Roman"/>
          <w:bCs/>
          <w:sz w:val="24"/>
          <w:vertAlign w:val="superscript"/>
        </w:rPr>
        <w:t>d</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Pengpeng</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Qu,</w:t>
      </w:r>
      <w:r w:rsidRPr="004563F2">
        <w:rPr>
          <w:rFonts w:ascii="Times New Roman" w:eastAsia="等线" w:hAnsi="Times New Roman" w:cs="Times New Roman"/>
          <w:bCs/>
          <w:sz w:val="24"/>
          <w:vertAlign w:val="superscript"/>
        </w:rPr>
        <w:t>d</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Zhaofeng</w:t>
      </w:r>
      <w:proofErr w:type="spellEnd"/>
      <w:r w:rsidRPr="004563F2">
        <w:rPr>
          <w:rFonts w:ascii="Times New Roman" w:eastAsia="等线" w:hAnsi="Times New Roman" w:cs="Times New Roman"/>
          <w:bCs/>
          <w:sz w:val="24"/>
        </w:rPr>
        <w:t xml:space="preserve"> </w:t>
      </w:r>
      <w:proofErr w:type="spellStart"/>
      <w:r w:rsidRPr="004563F2">
        <w:rPr>
          <w:rFonts w:ascii="Times New Roman" w:eastAsia="等线" w:hAnsi="Times New Roman" w:cs="Times New Roman"/>
          <w:bCs/>
          <w:sz w:val="24"/>
        </w:rPr>
        <w:t>Luo</w:t>
      </w:r>
      <w:r w:rsidRPr="004563F2">
        <w:rPr>
          <w:rFonts w:ascii="Times New Roman" w:eastAsia="等线" w:hAnsi="Times New Roman" w:cs="Times New Roman"/>
          <w:bCs/>
          <w:sz w:val="24"/>
          <w:vertAlign w:val="superscript"/>
        </w:rPr>
        <w:t>c</w:t>
      </w:r>
      <w:proofErr w:type="spellEnd"/>
      <w:r w:rsidRPr="004563F2">
        <w:rPr>
          <w:rFonts w:ascii="Times New Roman" w:eastAsia="等线" w:hAnsi="Times New Roman" w:cs="Times New Roman"/>
          <w:bCs/>
          <w:sz w:val="24"/>
        </w:rPr>
        <w:t xml:space="preserve"> and Liyun </w:t>
      </w:r>
      <w:proofErr w:type="spellStart"/>
      <w:r w:rsidRPr="004563F2">
        <w:rPr>
          <w:rFonts w:ascii="Times New Roman" w:eastAsia="等线" w:hAnsi="Times New Roman" w:cs="Times New Roman"/>
          <w:bCs/>
          <w:sz w:val="24"/>
        </w:rPr>
        <w:t>Zhang</w:t>
      </w:r>
      <w:r w:rsidRPr="004563F2">
        <w:rPr>
          <w:rFonts w:ascii="Times New Roman" w:eastAsia="等线" w:hAnsi="Times New Roman" w:cs="Times New Roman"/>
          <w:bCs/>
          <w:sz w:val="24"/>
          <w:vertAlign w:val="superscript"/>
        </w:rPr>
        <w:t>a</w:t>
      </w:r>
      <w:proofErr w:type="spellEnd"/>
      <w:r w:rsidRPr="004563F2">
        <w:rPr>
          <w:rFonts w:ascii="Times New Roman" w:eastAsia="等线" w:hAnsi="Times New Roman" w:cs="Times New Roman"/>
          <w:bCs/>
          <w:sz w:val="24"/>
          <w:vertAlign w:val="superscript"/>
        </w:rPr>
        <w:t>,*</w:t>
      </w:r>
    </w:p>
    <w:p w:rsidR="004563F2" w:rsidRPr="004563F2" w:rsidRDefault="004563F2" w:rsidP="004563F2">
      <w:pPr>
        <w:spacing w:line="480" w:lineRule="auto"/>
        <w:jc w:val="center"/>
        <w:rPr>
          <w:rFonts w:ascii="Times New Roman" w:eastAsia="等线" w:hAnsi="Times New Roman" w:cs="Times New Roman"/>
          <w:bCs/>
          <w:sz w:val="22"/>
          <w:szCs w:val="21"/>
        </w:rPr>
      </w:pPr>
    </w:p>
    <w:p w:rsidR="004563F2" w:rsidRPr="004563F2" w:rsidRDefault="004563F2" w:rsidP="004563F2">
      <w:pPr>
        <w:widowControl w:val="0"/>
        <w:spacing w:line="360" w:lineRule="auto"/>
        <w:rPr>
          <w:rFonts w:ascii="Times New Roman" w:eastAsia="等线" w:hAnsi="Times New Roman" w:cs="Times New Roman"/>
          <w:i/>
          <w:color w:val="000000"/>
          <w:szCs w:val="21"/>
        </w:rPr>
      </w:pPr>
      <w:r w:rsidRPr="004563F2">
        <w:rPr>
          <w:rFonts w:ascii="Times New Roman" w:eastAsia="等线" w:hAnsi="Times New Roman" w:cs="Times New Roman"/>
          <w:i/>
          <w:color w:val="000000"/>
          <w:szCs w:val="21"/>
          <w:vertAlign w:val="superscript"/>
        </w:rPr>
        <w:t xml:space="preserve">a </w:t>
      </w:r>
      <w:r w:rsidRPr="004563F2">
        <w:rPr>
          <w:rFonts w:ascii="Times New Roman" w:eastAsia="等线" w:hAnsi="Times New Roman" w:cs="Times New Roman"/>
          <w:i/>
          <w:color w:val="000000"/>
          <w:szCs w:val="21"/>
        </w:rPr>
        <w:t>State Key Laboratory of Medicinal Chemical Biology, College of Life Sciences, Nankai University, Tianjin, 300350. R. China</w:t>
      </w:r>
    </w:p>
    <w:p w:rsidR="004563F2" w:rsidRPr="004563F2" w:rsidRDefault="004563F2" w:rsidP="004563F2">
      <w:pPr>
        <w:widowControl w:val="0"/>
        <w:spacing w:line="360" w:lineRule="auto"/>
        <w:rPr>
          <w:rFonts w:ascii="Times New Roman" w:eastAsia="等线" w:hAnsi="Times New Roman" w:cs="Times New Roman"/>
          <w:i/>
          <w:color w:val="000000"/>
          <w:szCs w:val="21"/>
        </w:rPr>
      </w:pPr>
      <w:r w:rsidRPr="004563F2">
        <w:rPr>
          <w:rFonts w:ascii="Times New Roman" w:eastAsia="等线" w:hAnsi="Times New Roman" w:cs="Times New Roman"/>
          <w:i/>
          <w:color w:val="000000"/>
          <w:szCs w:val="21"/>
          <w:vertAlign w:val="superscript"/>
        </w:rPr>
        <w:t xml:space="preserve">b </w:t>
      </w:r>
      <w:r w:rsidRPr="004563F2">
        <w:rPr>
          <w:rFonts w:ascii="Times New Roman" w:eastAsia="等线" w:hAnsi="Times New Roman" w:cs="Times New Roman"/>
          <w:i/>
          <w:color w:val="000000"/>
          <w:szCs w:val="21"/>
        </w:rPr>
        <w:t>State Key Laboratory of Medicinal Chemical Biology, College of Pharmacy, Nankai University, Tianjin, 300350. R. China</w:t>
      </w:r>
    </w:p>
    <w:p w:rsidR="004563F2" w:rsidRPr="004563F2" w:rsidRDefault="004563F2" w:rsidP="004563F2">
      <w:pPr>
        <w:widowControl w:val="0"/>
        <w:spacing w:line="360" w:lineRule="auto"/>
        <w:rPr>
          <w:rFonts w:ascii="Times New Roman" w:eastAsia="等线" w:hAnsi="Times New Roman" w:cs="Times New Roman"/>
          <w:i/>
          <w:color w:val="000000"/>
          <w:szCs w:val="21"/>
        </w:rPr>
      </w:pPr>
      <w:r w:rsidRPr="004563F2">
        <w:rPr>
          <w:rFonts w:ascii="Times New Roman" w:eastAsia="等线" w:hAnsi="Times New Roman" w:cs="Times New Roman"/>
          <w:i/>
          <w:color w:val="000000"/>
          <w:szCs w:val="21"/>
          <w:vertAlign w:val="superscript"/>
        </w:rPr>
        <w:t xml:space="preserve">c </w:t>
      </w:r>
      <w:r w:rsidRPr="004563F2">
        <w:rPr>
          <w:rFonts w:ascii="Times New Roman" w:eastAsia="等线" w:hAnsi="Times New Roman" w:cs="Times New Roman"/>
          <w:i/>
          <w:color w:val="000000"/>
          <w:szCs w:val="21"/>
        </w:rPr>
        <w:t>The Cancer Hospital of the University of Chinese Academy of Sciences, Aptamer Selection Center, Institute of Basic Medicine and Cancer (IBMC), Chinese Academy of Sciences, Hangzhou, Zhejiang 310022, P. R. China</w:t>
      </w:r>
    </w:p>
    <w:p w:rsidR="004563F2" w:rsidRPr="004563F2" w:rsidRDefault="004563F2" w:rsidP="004563F2">
      <w:pPr>
        <w:widowControl w:val="0"/>
        <w:spacing w:line="360" w:lineRule="auto"/>
        <w:rPr>
          <w:rFonts w:ascii="Times New Roman" w:eastAsia="等线" w:hAnsi="Times New Roman" w:cs="Times New Roman"/>
          <w:i/>
          <w:color w:val="000000"/>
          <w:szCs w:val="21"/>
        </w:rPr>
      </w:pPr>
      <w:r w:rsidRPr="004563F2">
        <w:rPr>
          <w:rFonts w:ascii="Times New Roman" w:eastAsia="等线" w:hAnsi="Times New Roman" w:cs="Times New Roman"/>
          <w:i/>
          <w:color w:val="000000"/>
          <w:szCs w:val="21"/>
          <w:vertAlign w:val="superscript"/>
        </w:rPr>
        <w:t xml:space="preserve">d </w:t>
      </w:r>
      <w:r w:rsidRPr="004563F2">
        <w:rPr>
          <w:rFonts w:ascii="Times New Roman" w:eastAsia="等线" w:hAnsi="Times New Roman" w:cs="Times New Roman"/>
          <w:i/>
          <w:color w:val="000000"/>
          <w:szCs w:val="21"/>
        </w:rPr>
        <w:t>Department of Gynecological Oncology, Tianjin Central Hospital of Obstetrics and Gynecology, Nankai University, Tianjin 300071, P. R. China</w:t>
      </w:r>
    </w:p>
    <w:bookmarkEnd w:id="0"/>
    <w:p w:rsidR="004563F2" w:rsidRPr="004563F2" w:rsidRDefault="004563F2" w:rsidP="004563F2">
      <w:pPr>
        <w:widowControl w:val="0"/>
        <w:spacing w:line="300" w:lineRule="auto"/>
        <w:rPr>
          <w:rFonts w:ascii="Times New Roman" w:eastAsia="等线" w:hAnsi="Times New Roman" w:cs="Times New Roman"/>
          <w:i/>
          <w:color w:val="000000"/>
          <w:sz w:val="24"/>
        </w:rPr>
      </w:pPr>
    </w:p>
    <w:p w:rsidR="004563F2" w:rsidRDefault="004563F2" w:rsidP="004563F2">
      <w:pPr>
        <w:widowControl w:val="0"/>
        <w:spacing w:line="360" w:lineRule="auto"/>
        <w:rPr>
          <w:rFonts w:ascii="Times New Roman" w:eastAsia="等线" w:hAnsi="Times New Roman" w:cs="Times New Roman"/>
          <w:b/>
          <w:bCs/>
          <w:sz w:val="24"/>
        </w:rPr>
      </w:pPr>
      <w:r w:rsidRPr="004563F2">
        <w:rPr>
          <w:rFonts w:ascii="Times New Roman" w:eastAsia="等线" w:hAnsi="Times New Roman" w:cs="Times New Roman"/>
          <w:b/>
          <w:bCs/>
          <w:sz w:val="24"/>
        </w:rPr>
        <w:t xml:space="preserve">Abstract: </w:t>
      </w:r>
    </w:p>
    <w:p w:rsidR="00EA2967" w:rsidRPr="004563F2" w:rsidRDefault="004563F2" w:rsidP="004563F2">
      <w:pPr>
        <w:widowControl w:val="0"/>
        <w:spacing w:line="360" w:lineRule="auto"/>
      </w:pPr>
      <w:r w:rsidRPr="004563F2">
        <w:rPr>
          <w:rFonts w:ascii="Times New Roman" w:eastAsia="等线" w:hAnsi="Times New Roman" w:cs="Times New Roman"/>
          <w:sz w:val="22"/>
          <w:szCs w:val="21"/>
        </w:rPr>
        <w:t xml:space="preserve">Antigen-detecting rapid diagnostic testing (Ag-RDT) has contributed to containing the spread of SARS-CoV-2 variants of concern (VOCs). In this study, we proposed a biomimetic clamp assay for impedimetric SARS-CoV-2 </w:t>
      </w:r>
      <w:bookmarkStart w:id="1" w:name="_Hlk113007446"/>
      <w:r w:rsidRPr="004563F2">
        <w:rPr>
          <w:rFonts w:ascii="Times New Roman" w:eastAsia="等线" w:hAnsi="Times New Roman" w:cs="Times New Roman"/>
          <w:sz w:val="22"/>
          <w:szCs w:val="21"/>
        </w:rPr>
        <w:t>nucleocapsid protein</w:t>
      </w:r>
      <w:bookmarkEnd w:id="1"/>
      <w:r w:rsidRPr="004563F2">
        <w:rPr>
          <w:rFonts w:ascii="Times New Roman" w:eastAsia="等线" w:hAnsi="Times New Roman" w:cs="Times New Roman"/>
          <w:sz w:val="22"/>
          <w:szCs w:val="21"/>
        </w:rPr>
        <w:t xml:space="preserve"> (Np) detection. The DNA biomimetic clamp (DNA-BC) is formed by a pair of Np aptamers connected via a T</w:t>
      </w:r>
      <w:r w:rsidRPr="004563F2">
        <w:rPr>
          <w:rFonts w:ascii="Times New Roman" w:eastAsia="等线" w:hAnsi="Times New Roman" w:cs="Times New Roman"/>
          <w:sz w:val="22"/>
          <w:szCs w:val="21"/>
          <w:vertAlign w:val="subscript"/>
        </w:rPr>
        <w:t>20</w:t>
      </w:r>
      <w:r w:rsidRPr="004563F2">
        <w:rPr>
          <w:rFonts w:ascii="Times New Roman" w:eastAsia="等线" w:hAnsi="Times New Roman" w:cs="Times New Roman"/>
          <w:sz w:val="22"/>
          <w:szCs w:val="21"/>
        </w:rPr>
        <w:t xml:space="preserve"> spacer. The 5'- terminal of the DNA-BC is phosphate-modified and then anchored on the surface of the screen-printed gold electrode, which has been pre-coated with Au@UiO-66-NH</w:t>
      </w:r>
      <w:r w:rsidRPr="004563F2">
        <w:rPr>
          <w:rFonts w:ascii="Times New Roman" w:eastAsia="等线" w:hAnsi="Times New Roman" w:cs="Times New Roman"/>
          <w:sz w:val="22"/>
          <w:szCs w:val="21"/>
          <w:vertAlign w:val="subscript"/>
        </w:rPr>
        <w:t>2</w:t>
      </w:r>
      <w:r w:rsidRPr="004563F2">
        <w:rPr>
          <w:rFonts w:ascii="Times New Roman" w:eastAsia="等线" w:hAnsi="Times New Roman" w:cs="Times New Roman"/>
          <w:sz w:val="22"/>
          <w:szCs w:val="21"/>
        </w:rPr>
        <w:t xml:space="preserve">. The integrated DNA-material sensing biochip is fabricated through the strong </w:t>
      </w:r>
      <w:proofErr w:type="spellStart"/>
      <w:r w:rsidRPr="004563F2">
        <w:rPr>
          <w:rFonts w:ascii="Times New Roman" w:eastAsia="等线" w:hAnsi="Times New Roman" w:cs="Times New Roman"/>
          <w:sz w:val="22"/>
          <w:szCs w:val="21"/>
        </w:rPr>
        <w:t>Zr</w:t>
      </w:r>
      <w:r w:rsidRPr="004563F2">
        <w:rPr>
          <w:rFonts w:ascii="Symbol" w:eastAsia="等线" w:hAnsi="Symbol" w:cs="Times New Roman"/>
          <w:sz w:val="22"/>
          <w:szCs w:val="21"/>
        </w:rPr>
        <w:t></w:t>
      </w:r>
      <w:r w:rsidRPr="004563F2">
        <w:rPr>
          <w:rFonts w:ascii="Times New Roman" w:eastAsia="等线" w:hAnsi="Times New Roman" w:cs="Times New Roman"/>
          <w:sz w:val="22"/>
          <w:szCs w:val="21"/>
        </w:rPr>
        <w:t>O</w:t>
      </w:r>
      <w:r w:rsidRPr="004563F2">
        <w:rPr>
          <w:rFonts w:ascii="Symbol" w:eastAsia="等线" w:hAnsi="Symbol" w:cs="Times New Roman"/>
          <w:sz w:val="22"/>
          <w:szCs w:val="21"/>
        </w:rPr>
        <w:t></w:t>
      </w:r>
      <w:r w:rsidRPr="004563F2">
        <w:rPr>
          <w:rFonts w:ascii="Times New Roman" w:eastAsia="等线" w:hAnsi="Times New Roman" w:cs="Times New Roman"/>
          <w:sz w:val="22"/>
          <w:szCs w:val="21"/>
        </w:rPr>
        <w:t>P</w:t>
      </w:r>
      <w:proofErr w:type="spellEnd"/>
      <w:r w:rsidRPr="004563F2">
        <w:rPr>
          <w:rFonts w:ascii="Times New Roman" w:eastAsia="等线" w:hAnsi="Times New Roman" w:cs="Times New Roman"/>
          <w:sz w:val="22"/>
          <w:szCs w:val="21"/>
        </w:rPr>
        <w:t xml:space="preserve"> bonds</w:t>
      </w:r>
      <w:bookmarkStart w:id="2" w:name="OLE_LINK44"/>
      <w:r w:rsidRPr="004563F2">
        <w:rPr>
          <w:rFonts w:ascii="Times New Roman" w:eastAsia="等线" w:hAnsi="Times New Roman" w:cs="Times New Roman"/>
          <w:sz w:val="22"/>
          <w:szCs w:val="21"/>
        </w:rPr>
        <w:t xml:space="preserve"> to form a </w:t>
      </w:r>
      <w:bookmarkEnd w:id="2"/>
      <w:r w:rsidRPr="004563F2">
        <w:rPr>
          <w:rFonts w:ascii="Times New Roman" w:eastAsia="等线" w:hAnsi="Times New Roman" w:cs="Times New Roman"/>
          <w:sz w:val="22"/>
          <w:szCs w:val="21"/>
        </w:rPr>
        <w:t xml:space="preserve">clamp-type </w:t>
      </w:r>
      <w:bookmarkStart w:id="3" w:name="OLE_LINK47"/>
      <w:r w:rsidRPr="004563F2">
        <w:rPr>
          <w:rFonts w:ascii="Times New Roman" w:eastAsia="等线" w:hAnsi="Times New Roman" w:cs="Times New Roman"/>
          <w:sz w:val="22"/>
          <w:szCs w:val="21"/>
        </w:rPr>
        <w:t xml:space="preserve">impedimetric </w:t>
      </w:r>
      <w:bookmarkEnd w:id="3"/>
      <w:proofErr w:type="spellStart"/>
      <w:r w:rsidRPr="004563F2">
        <w:rPr>
          <w:rFonts w:ascii="Times New Roman" w:eastAsia="等线" w:hAnsi="Times New Roman" w:cs="Times New Roman"/>
          <w:sz w:val="22"/>
          <w:szCs w:val="21"/>
        </w:rPr>
        <w:t>aptasensor</w:t>
      </w:r>
      <w:proofErr w:type="spellEnd"/>
      <w:r w:rsidRPr="004563F2">
        <w:rPr>
          <w:rFonts w:ascii="Times New Roman" w:eastAsia="等线" w:hAnsi="Times New Roman" w:cs="Times New Roman"/>
          <w:sz w:val="22"/>
          <w:szCs w:val="21"/>
        </w:rPr>
        <w:t xml:space="preserve">. It is demonstrated that the </w:t>
      </w:r>
      <w:proofErr w:type="spellStart"/>
      <w:r w:rsidRPr="004563F2">
        <w:rPr>
          <w:rFonts w:ascii="Times New Roman" w:eastAsia="等线" w:hAnsi="Times New Roman" w:cs="Times New Roman"/>
          <w:sz w:val="22"/>
          <w:szCs w:val="21"/>
        </w:rPr>
        <w:t>aptasensor</w:t>
      </w:r>
      <w:proofErr w:type="spellEnd"/>
      <w:r w:rsidRPr="004563F2">
        <w:rPr>
          <w:rFonts w:ascii="Times New Roman" w:eastAsia="等线" w:hAnsi="Times New Roman" w:cs="Times New Roman"/>
          <w:sz w:val="22"/>
          <w:szCs w:val="21"/>
        </w:rPr>
        <w:t xml:space="preserve"> could achieve Np detection in one step within 11 min and shows pronounced sensitivity with a detection limit of 0.31 </w:t>
      </w:r>
      <w:proofErr w:type="spellStart"/>
      <w:r w:rsidRPr="004563F2">
        <w:rPr>
          <w:rFonts w:ascii="Times New Roman" w:eastAsia="等线" w:hAnsi="Times New Roman" w:cs="Times New Roman"/>
          <w:sz w:val="22"/>
          <w:szCs w:val="21"/>
        </w:rPr>
        <w:t>pg</w:t>
      </w:r>
      <w:proofErr w:type="spellEnd"/>
      <w:r w:rsidRPr="004563F2">
        <w:rPr>
          <w:rFonts w:ascii="Times New Roman" w:eastAsia="等线" w:hAnsi="Times New Roman" w:cs="Times New Roman"/>
          <w:sz w:val="22"/>
          <w:szCs w:val="21"/>
        </w:rPr>
        <w:t xml:space="preserve"> mL</w:t>
      </w:r>
      <w:r w:rsidRPr="004563F2">
        <w:rPr>
          <w:rFonts w:ascii="Times New Roman" w:eastAsia="等线" w:hAnsi="Times New Roman" w:cs="Times New Roman"/>
          <w:sz w:val="22"/>
          <w:szCs w:val="21"/>
          <w:vertAlign w:val="superscript"/>
        </w:rPr>
        <w:t>–1</w:t>
      </w:r>
      <w:r w:rsidRPr="004563F2">
        <w:rPr>
          <w:rFonts w:ascii="Times New Roman" w:eastAsia="等线" w:hAnsi="Times New Roman" w:cs="Times New Roman"/>
          <w:sz w:val="22"/>
          <w:szCs w:val="21"/>
        </w:rPr>
        <w:t xml:space="preserve">. Above all, the </w:t>
      </w:r>
      <w:proofErr w:type="spellStart"/>
      <w:r w:rsidRPr="004563F2">
        <w:rPr>
          <w:rFonts w:ascii="Times New Roman" w:eastAsia="等线" w:hAnsi="Times New Roman" w:cs="Times New Roman"/>
          <w:sz w:val="22"/>
          <w:szCs w:val="21"/>
        </w:rPr>
        <w:t>aptasensor</w:t>
      </w:r>
      <w:proofErr w:type="spellEnd"/>
      <w:r w:rsidRPr="004563F2">
        <w:rPr>
          <w:rFonts w:ascii="Times New Roman" w:eastAsia="等线" w:hAnsi="Times New Roman" w:cs="Times New Roman"/>
          <w:sz w:val="22"/>
          <w:szCs w:val="21"/>
        </w:rPr>
        <w:t xml:space="preserve"> displays </w:t>
      </w:r>
      <w:r w:rsidRPr="004563F2">
        <w:rPr>
          <w:rFonts w:ascii="Times New Roman" w:eastAsia="等线" w:hAnsi="Times New Roman" w:cs="Times New Roman" w:hint="eastAsia"/>
          <w:sz w:val="22"/>
          <w:szCs w:val="21"/>
        </w:rPr>
        <w:t>gre</w:t>
      </w:r>
      <w:r w:rsidRPr="004563F2">
        <w:rPr>
          <w:rFonts w:ascii="Times New Roman" w:eastAsia="等线" w:hAnsi="Times New Roman" w:cs="Times New Roman"/>
          <w:sz w:val="22"/>
          <w:szCs w:val="21"/>
        </w:rPr>
        <w:t>at specificity and stability under physiological conditions as well as various water environments. It is a potentially promising strategy to exploit reliable Ag-RDT products to confront the ongoing epidemic.</w:t>
      </w:r>
    </w:p>
    <w:sectPr w:rsidR="00EA2967" w:rsidRPr="004563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F2"/>
    <w:rsid w:val="004563F2"/>
    <w:rsid w:val="00EA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9E6"/>
  <w15:chartTrackingRefBased/>
  <w15:docId w15:val="{5F084A6F-AB4B-4D46-9841-E4CA3577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1615</Characters>
  <Application>Microsoft Office Word</Application>
  <DocSecurity>0</DocSecurity>
  <Lines>41</Lines>
  <Paragraphs>17</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Liyun Zhang</dc:creator>
  <cp:keywords/>
  <dc:description/>
  <cp:lastModifiedBy>Liyun Zhang</cp:lastModifiedBy>
  <cp:revision>1</cp:revision>
  <dcterms:created xsi:type="dcterms:W3CDTF">2023-01-20T07:31:00Z</dcterms:created>
  <dcterms:modified xsi:type="dcterms:W3CDTF">2023-01-20T07:33:00Z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9565e9ba-9cf2-4e0f-99ac-f3a5a17a70b4</vt:lpwstr>
  </property>
</Properties>
</file>