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AD9D" w14:textId="77777777" w:rsidR="00D6517D" w:rsidRPr="00825475" w:rsidRDefault="00D6517D" w:rsidP="00D6517D">
      <w:pPr>
        <w:spacing w:line="330" w:lineRule="atLeast"/>
        <w:outlineLvl w:val="0"/>
        <w:rPr>
          <w:rFonts w:ascii="Georgia" w:hAnsi="Georgia"/>
          <w:color w:val="737373"/>
          <w:kern w:val="36"/>
          <w:sz w:val="20"/>
          <w:szCs w:val="20"/>
          <w:lang w:val="en-US"/>
        </w:rPr>
      </w:pPr>
      <w:proofErr w:type="spellStart"/>
      <w:r w:rsidRPr="00825475">
        <w:rPr>
          <w:rFonts w:ascii="Georgia" w:hAnsi="Georgia"/>
          <w:color w:val="737373"/>
          <w:kern w:val="36"/>
          <w:sz w:val="20"/>
          <w:szCs w:val="20"/>
          <w:lang w:val="en-US"/>
        </w:rPr>
        <w:t>riginal</w:t>
      </w:r>
      <w:proofErr w:type="spellEnd"/>
      <w:r w:rsidRPr="00825475">
        <w:rPr>
          <w:rFonts w:ascii="Georgia" w:hAnsi="Georgia"/>
          <w:color w:val="737373"/>
          <w:kern w:val="36"/>
          <w:sz w:val="20"/>
          <w:szCs w:val="20"/>
          <w:lang w:val="en-US"/>
        </w:rPr>
        <w:t xml:space="preserve"> Article</w:t>
      </w:r>
    </w:p>
    <w:p w14:paraId="7C141681" w14:textId="77777777" w:rsidR="00D6517D" w:rsidRPr="00825475" w:rsidRDefault="00D6517D" w:rsidP="00D6517D">
      <w:pPr>
        <w:outlineLvl w:val="0"/>
        <w:rPr>
          <w:rFonts w:ascii="Georgia" w:hAnsi="Georgia"/>
          <w:color w:val="505050"/>
          <w:kern w:val="36"/>
          <w:sz w:val="48"/>
          <w:szCs w:val="48"/>
          <w:lang w:val="en-US"/>
        </w:rPr>
      </w:pPr>
      <w:r w:rsidRPr="00825475">
        <w:rPr>
          <w:rFonts w:ascii="Georgia" w:hAnsi="Georgia"/>
          <w:color w:val="505050"/>
          <w:kern w:val="36"/>
          <w:sz w:val="48"/>
          <w:szCs w:val="48"/>
          <w:lang w:val="en-US"/>
        </w:rPr>
        <w:t>Skin IL-17A and IFN-</w:t>
      </w:r>
      <w:r w:rsidRPr="00825475">
        <w:rPr>
          <w:rFonts w:ascii="Georgia" w:hAnsi="Georgia"/>
          <w:color w:val="505050"/>
          <w:kern w:val="36"/>
          <w:sz w:val="48"/>
          <w:szCs w:val="48"/>
        </w:rPr>
        <w:t>γ</w:t>
      </w:r>
      <w:r w:rsidRPr="00825475">
        <w:rPr>
          <w:rFonts w:ascii="Georgia" w:hAnsi="Georgia"/>
          <w:color w:val="505050"/>
          <w:kern w:val="36"/>
          <w:sz w:val="48"/>
          <w:szCs w:val="48"/>
          <w:lang w:val="en-US"/>
        </w:rPr>
        <w:t xml:space="preserve"> production correlate with disease severity in patients with psoriasis and streptococcal infection</w:t>
      </w:r>
    </w:p>
    <w:p w14:paraId="29B05517" w14:textId="77777777" w:rsidR="00D6517D" w:rsidRPr="00825475" w:rsidRDefault="00D6517D" w:rsidP="00D6517D">
      <w:pPr>
        <w:spacing w:before="330"/>
        <w:textAlignment w:val="top"/>
        <w:rPr>
          <w:rFonts w:ascii="Arial" w:hAnsi="Arial" w:cs="Arial"/>
          <w:color w:val="737373"/>
          <w:sz w:val="21"/>
          <w:szCs w:val="21"/>
        </w:rPr>
      </w:pPr>
      <w:r w:rsidRPr="00825475">
        <w:rPr>
          <w:rFonts w:ascii="Arial" w:hAnsi="Arial" w:cs="Arial"/>
          <w:color w:val="2E2E2E"/>
          <w:sz w:val="21"/>
          <w:szCs w:val="21"/>
          <w:bdr w:val="none" w:sz="0" w:space="0" w:color="auto" w:frame="1"/>
        </w:rPr>
        <w:t xml:space="preserve">Author links open overlay </w:t>
      </w:r>
      <w:proofErr w:type="spellStart"/>
      <w:r w:rsidRPr="00825475">
        <w:rPr>
          <w:rFonts w:ascii="Arial" w:hAnsi="Arial" w:cs="Arial"/>
          <w:color w:val="2E2E2E"/>
          <w:sz w:val="21"/>
          <w:szCs w:val="21"/>
          <w:bdr w:val="none" w:sz="0" w:space="0" w:color="auto" w:frame="1"/>
        </w:rPr>
        <w:t>panel</w:t>
      </w:r>
      <w:r w:rsidRPr="00825475">
        <w:rPr>
          <w:rFonts w:ascii="Arial" w:hAnsi="Arial" w:cs="Arial"/>
          <w:color w:val="2E2E2E"/>
          <w:sz w:val="21"/>
          <w:szCs w:val="21"/>
        </w:rPr>
        <w:t>ChiaraDella</w:t>
      </w:r>
      <w:proofErr w:type="spellEnd"/>
      <w:r w:rsidRPr="00825475">
        <w:rPr>
          <w:rFonts w:ascii="Arial" w:hAnsi="Arial" w:cs="Arial"/>
          <w:color w:val="2E2E2E"/>
          <w:sz w:val="21"/>
          <w:szCs w:val="21"/>
        </w:rPr>
        <w:t xml:space="preserve"> Bella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1</w:t>
      </w:r>
      <w:r w:rsidRPr="00825475">
        <w:rPr>
          <w:rFonts w:ascii="Arial" w:hAnsi="Arial" w:cs="Arial"/>
          <w:color w:val="2E2E2E"/>
          <w:sz w:val="21"/>
          <w:szCs w:val="21"/>
        </w:rPr>
        <w:t>AlbertoCorrà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2</w:t>
      </w:r>
      <w:r w:rsidRPr="00825475">
        <w:rPr>
          <w:rFonts w:ascii="Arial" w:hAnsi="Arial" w:cs="Arial"/>
          <w:color w:val="2E2E2E"/>
          <w:sz w:val="21"/>
          <w:szCs w:val="21"/>
        </w:rPr>
        <w:t>ElisabettaMantengoli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3</w:t>
      </w:r>
      <w:r w:rsidRPr="00825475">
        <w:rPr>
          <w:rFonts w:ascii="Arial" w:hAnsi="Arial" w:cs="Arial"/>
          <w:color w:val="2E2E2E"/>
          <w:sz w:val="21"/>
          <w:szCs w:val="21"/>
        </w:rPr>
        <w:t>AngeloGalano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4</w:t>
      </w:r>
      <w:r w:rsidRPr="00825475">
        <w:rPr>
          <w:rFonts w:ascii="Arial" w:hAnsi="Arial" w:cs="Arial"/>
          <w:color w:val="2E2E2E"/>
          <w:sz w:val="21"/>
          <w:szCs w:val="21"/>
        </w:rPr>
        <w:t>MarisaBenagiano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1</w:t>
      </w:r>
      <w:r w:rsidRPr="00825475">
        <w:rPr>
          <w:rFonts w:ascii="Arial" w:hAnsi="Arial" w:cs="Arial"/>
          <w:color w:val="2E2E2E"/>
          <w:sz w:val="21"/>
          <w:szCs w:val="21"/>
        </w:rPr>
        <w:t>DilettaBonciani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5</w:t>
      </w:r>
      <w:r w:rsidRPr="00825475">
        <w:rPr>
          <w:rFonts w:ascii="Arial" w:hAnsi="Arial" w:cs="Arial"/>
          <w:color w:val="2E2E2E"/>
          <w:sz w:val="21"/>
          <w:szCs w:val="21"/>
        </w:rPr>
        <w:t>Elena BiancamariaMariotti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2</w:t>
      </w:r>
      <w:r w:rsidRPr="00825475">
        <w:rPr>
          <w:rFonts w:ascii="Arial" w:hAnsi="Arial" w:cs="Arial"/>
          <w:color w:val="2E2E2E"/>
          <w:sz w:val="21"/>
          <w:szCs w:val="21"/>
        </w:rPr>
        <w:t>SaraPratesi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1</w:t>
      </w:r>
      <w:r w:rsidRPr="00825475">
        <w:rPr>
          <w:rFonts w:ascii="Arial" w:hAnsi="Arial" w:cs="Arial"/>
          <w:color w:val="2E2E2E"/>
          <w:sz w:val="21"/>
          <w:szCs w:val="21"/>
        </w:rPr>
        <w:t>LaviniaQuintarelli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6</w:t>
      </w:r>
      <w:r w:rsidRPr="00825475">
        <w:rPr>
          <w:rFonts w:ascii="Arial" w:hAnsi="Arial" w:cs="Arial"/>
          <w:color w:val="2E2E2E"/>
          <w:sz w:val="21"/>
          <w:szCs w:val="21"/>
        </w:rPr>
        <w:t>CristinaAimo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2</w:t>
      </w:r>
      <w:r w:rsidRPr="00825475">
        <w:rPr>
          <w:rFonts w:ascii="Arial" w:hAnsi="Arial" w:cs="Arial"/>
          <w:color w:val="2E2E2E"/>
          <w:sz w:val="21"/>
          <w:szCs w:val="21"/>
        </w:rPr>
        <w:t>AlessiaGrassi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1</w:t>
      </w:r>
      <w:r w:rsidRPr="00825475">
        <w:rPr>
          <w:rFonts w:ascii="Arial" w:hAnsi="Arial" w:cs="Arial"/>
          <w:color w:val="2E2E2E"/>
          <w:sz w:val="21"/>
          <w:szCs w:val="21"/>
        </w:rPr>
        <w:t>SofiaD’Elios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7</w:t>
      </w:r>
      <w:r w:rsidRPr="00825475">
        <w:rPr>
          <w:rFonts w:ascii="Arial" w:hAnsi="Arial" w:cs="Arial"/>
          <w:color w:val="2E2E2E"/>
          <w:sz w:val="21"/>
          <w:szCs w:val="21"/>
        </w:rPr>
        <w:t>WalterVolpi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6</w:t>
      </w:r>
      <w:r w:rsidRPr="00825475">
        <w:rPr>
          <w:rFonts w:ascii="Arial" w:hAnsi="Arial" w:cs="Arial"/>
          <w:color w:val="2E2E2E"/>
          <w:sz w:val="21"/>
          <w:szCs w:val="21"/>
        </w:rPr>
        <w:t>AliceVerdelli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6</w:t>
      </w:r>
      <w:r w:rsidRPr="00825475">
        <w:rPr>
          <w:rFonts w:ascii="Arial" w:hAnsi="Arial" w:cs="Arial"/>
          <w:color w:val="2E2E2E"/>
          <w:sz w:val="21"/>
          <w:szCs w:val="21"/>
        </w:rPr>
        <w:t>AlessandroBartoloni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3</w:t>
      </w:r>
      <w:r w:rsidRPr="00825475">
        <w:rPr>
          <w:rFonts w:ascii="Arial" w:hAnsi="Arial" w:cs="Arial"/>
          <w:color w:val="2E2E2E"/>
          <w:sz w:val="21"/>
          <w:szCs w:val="21"/>
        </w:rPr>
        <w:t>Gian MariaRossolini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14</w:t>
      </w:r>
      <w:r w:rsidRPr="00825475">
        <w:rPr>
          <w:rFonts w:ascii="Arial" w:hAnsi="Arial" w:cs="Arial"/>
          <w:color w:val="2E2E2E"/>
          <w:sz w:val="21"/>
          <w:szCs w:val="21"/>
        </w:rPr>
        <w:t>Mario MilcoD’Elios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1</w:t>
      </w:r>
      <w:r w:rsidRPr="00825475">
        <w:rPr>
          <w:rFonts w:ascii="Arial" w:hAnsi="Arial" w:cs="Arial"/>
          <w:color w:val="2E2E2E"/>
          <w:sz w:val="21"/>
          <w:szCs w:val="21"/>
        </w:rPr>
        <w:t>MarziaCaproni</w:t>
      </w:r>
      <w:r w:rsidRPr="00825475">
        <w:rPr>
          <w:rFonts w:ascii="Arial" w:hAnsi="Arial" w:cs="Arial"/>
          <w:color w:val="2E2E2E"/>
          <w:sz w:val="16"/>
          <w:szCs w:val="16"/>
          <w:vertAlign w:val="superscript"/>
        </w:rPr>
        <w:t>6</w:t>
      </w:r>
    </w:p>
    <w:p w14:paraId="6CBD2181" w14:textId="77777777" w:rsidR="00D6517D" w:rsidRPr="00825475" w:rsidRDefault="00D6517D" w:rsidP="00D6517D">
      <w:pPr>
        <w:jc w:val="right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16"/>
          <w:szCs w:val="16"/>
          <w:vertAlign w:val="superscript"/>
          <w:lang w:val="en-US"/>
        </w:rPr>
        <w:t>1</w:t>
      </w:r>
    </w:p>
    <w:p w14:paraId="2EBB3D03" w14:textId="77777777" w:rsidR="00D6517D" w:rsidRPr="00825475" w:rsidRDefault="00D6517D" w:rsidP="00D6517D">
      <w:pPr>
        <w:ind w:left="720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21"/>
          <w:szCs w:val="21"/>
          <w:lang w:val="en-US"/>
        </w:rPr>
        <w:t>Department of Experimental and Clinical Medicine, University of Florence, Italy</w:t>
      </w:r>
    </w:p>
    <w:p w14:paraId="60206C56" w14:textId="77777777" w:rsidR="00D6517D" w:rsidRPr="00825475" w:rsidRDefault="00D6517D" w:rsidP="00D6517D">
      <w:pPr>
        <w:jc w:val="right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16"/>
          <w:szCs w:val="16"/>
          <w:vertAlign w:val="superscript"/>
          <w:lang w:val="en-US"/>
        </w:rPr>
        <w:t>2</w:t>
      </w:r>
    </w:p>
    <w:p w14:paraId="56E90DAF" w14:textId="77777777" w:rsidR="00D6517D" w:rsidRPr="00825475" w:rsidRDefault="00D6517D" w:rsidP="00D6517D">
      <w:pPr>
        <w:ind w:left="720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21"/>
          <w:szCs w:val="21"/>
          <w:lang w:val="en-US"/>
        </w:rPr>
        <w:t>Section of Dermatology, Department of Health Sciences, University of Florence, Italy</w:t>
      </w:r>
    </w:p>
    <w:p w14:paraId="45BEE8BC" w14:textId="77777777" w:rsidR="00D6517D" w:rsidRPr="00825475" w:rsidRDefault="00D6517D" w:rsidP="00D6517D">
      <w:pPr>
        <w:jc w:val="right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16"/>
          <w:szCs w:val="16"/>
          <w:vertAlign w:val="superscript"/>
          <w:lang w:val="en-US"/>
        </w:rPr>
        <w:t>3</w:t>
      </w:r>
    </w:p>
    <w:p w14:paraId="47F35F4B" w14:textId="77777777" w:rsidR="00D6517D" w:rsidRPr="00825475" w:rsidRDefault="00D6517D" w:rsidP="00D6517D">
      <w:pPr>
        <w:ind w:left="720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21"/>
          <w:szCs w:val="21"/>
          <w:lang w:val="en-US"/>
        </w:rPr>
        <w:t xml:space="preserve">Infectious and Tropical Diseases Unit. </w:t>
      </w:r>
      <w:proofErr w:type="spellStart"/>
      <w:r w:rsidRPr="00825475">
        <w:rPr>
          <w:rFonts w:ascii="Arial" w:hAnsi="Arial" w:cs="Arial"/>
          <w:color w:val="737373"/>
          <w:sz w:val="21"/>
          <w:szCs w:val="21"/>
          <w:lang w:val="en-US"/>
        </w:rPr>
        <w:t>Careggi</w:t>
      </w:r>
      <w:proofErr w:type="spellEnd"/>
      <w:r w:rsidRPr="00825475">
        <w:rPr>
          <w:rFonts w:ascii="Arial" w:hAnsi="Arial" w:cs="Arial"/>
          <w:color w:val="737373"/>
          <w:sz w:val="21"/>
          <w:szCs w:val="21"/>
          <w:lang w:val="en-US"/>
        </w:rPr>
        <w:t xml:space="preserve"> University Hospital, Florence, Italy</w:t>
      </w:r>
    </w:p>
    <w:p w14:paraId="5E9BA8C5" w14:textId="77777777" w:rsidR="00D6517D" w:rsidRPr="00825475" w:rsidRDefault="00D6517D" w:rsidP="00D6517D">
      <w:pPr>
        <w:jc w:val="right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16"/>
          <w:szCs w:val="16"/>
          <w:vertAlign w:val="superscript"/>
          <w:lang w:val="en-US"/>
        </w:rPr>
        <w:t>4</w:t>
      </w:r>
    </w:p>
    <w:p w14:paraId="14A67652" w14:textId="77777777" w:rsidR="00D6517D" w:rsidRPr="00825475" w:rsidRDefault="00D6517D" w:rsidP="00D6517D">
      <w:pPr>
        <w:ind w:left="720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21"/>
          <w:szCs w:val="21"/>
          <w:lang w:val="en-US"/>
        </w:rPr>
        <w:t xml:space="preserve">Microbiology and Virology Unit, </w:t>
      </w:r>
      <w:proofErr w:type="spellStart"/>
      <w:r w:rsidRPr="00825475">
        <w:rPr>
          <w:rFonts w:ascii="Arial" w:hAnsi="Arial" w:cs="Arial"/>
          <w:color w:val="737373"/>
          <w:sz w:val="21"/>
          <w:szCs w:val="21"/>
          <w:lang w:val="en-US"/>
        </w:rPr>
        <w:t>Careggi</w:t>
      </w:r>
      <w:proofErr w:type="spellEnd"/>
      <w:r w:rsidRPr="00825475">
        <w:rPr>
          <w:rFonts w:ascii="Arial" w:hAnsi="Arial" w:cs="Arial"/>
          <w:color w:val="737373"/>
          <w:sz w:val="21"/>
          <w:szCs w:val="21"/>
          <w:lang w:val="en-US"/>
        </w:rPr>
        <w:t xml:space="preserve"> University Hospital, Florence, Italy</w:t>
      </w:r>
    </w:p>
    <w:p w14:paraId="5115D8B7" w14:textId="77777777" w:rsidR="00D6517D" w:rsidRPr="00825475" w:rsidRDefault="00D6517D" w:rsidP="00D6517D">
      <w:pPr>
        <w:jc w:val="right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16"/>
          <w:szCs w:val="16"/>
          <w:vertAlign w:val="superscript"/>
          <w:lang w:val="en-US"/>
        </w:rPr>
        <w:t>5</w:t>
      </w:r>
    </w:p>
    <w:p w14:paraId="4E27D5C6" w14:textId="77777777" w:rsidR="00D6517D" w:rsidRPr="00825475" w:rsidRDefault="00D6517D" w:rsidP="00D6517D">
      <w:pPr>
        <w:ind w:left="720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21"/>
          <w:szCs w:val="21"/>
          <w:lang w:val="en-US"/>
        </w:rPr>
        <w:t>Dermatology Unit, San Jacopo Hospital, Pistoia, Italy</w:t>
      </w:r>
    </w:p>
    <w:p w14:paraId="6940D8FB" w14:textId="77777777" w:rsidR="00D6517D" w:rsidRPr="00825475" w:rsidRDefault="00D6517D" w:rsidP="00D6517D">
      <w:pPr>
        <w:jc w:val="right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16"/>
          <w:szCs w:val="16"/>
          <w:vertAlign w:val="superscript"/>
          <w:lang w:val="en-US"/>
        </w:rPr>
        <w:t>6</w:t>
      </w:r>
    </w:p>
    <w:p w14:paraId="77D0FD08" w14:textId="77777777" w:rsidR="00D6517D" w:rsidRPr="00825475" w:rsidRDefault="00D6517D" w:rsidP="00D6517D">
      <w:pPr>
        <w:ind w:left="720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21"/>
          <w:szCs w:val="21"/>
          <w:lang w:val="en-US"/>
        </w:rPr>
        <w:t xml:space="preserve">Immunopathology and Rare Skin Diseases Unit, Section of Dermatology, Department of Health Sciences, </w:t>
      </w:r>
      <w:proofErr w:type="spellStart"/>
      <w:r w:rsidRPr="00825475">
        <w:rPr>
          <w:rFonts w:ascii="Arial" w:hAnsi="Arial" w:cs="Arial"/>
          <w:color w:val="737373"/>
          <w:sz w:val="21"/>
          <w:szCs w:val="21"/>
          <w:lang w:val="en-US"/>
        </w:rPr>
        <w:t>Azienda</w:t>
      </w:r>
      <w:proofErr w:type="spellEnd"/>
      <w:r w:rsidRPr="00825475">
        <w:rPr>
          <w:rFonts w:ascii="Arial" w:hAnsi="Arial" w:cs="Arial"/>
          <w:color w:val="737373"/>
          <w:sz w:val="21"/>
          <w:szCs w:val="21"/>
          <w:lang w:val="en-US"/>
        </w:rPr>
        <w:t xml:space="preserve"> </w:t>
      </w:r>
      <w:proofErr w:type="spellStart"/>
      <w:r w:rsidRPr="00825475">
        <w:rPr>
          <w:rFonts w:ascii="Arial" w:hAnsi="Arial" w:cs="Arial"/>
          <w:color w:val="737373"/>
          <w:sz w:val="21"/>
          <w:szCs w:val="21"/>
          <w:lang w:val="en-US"/>
        </w:rPr>
        <w:t>Unità</w:t>
      </w:r>
      <w:proofErr w:type="spellEnd"/>
      <w:r w:rsidRPr="00825475">
        <w:rPr>
          <w:rFonts w:ascii="Arial" w:hAnsi="Arial" w:cs="Arial"/>
          <w:color w:val="737373"/>
          <w:sz w:val="21"/>
          <w:szCs w:val="21"/>
          <w:lang w:val="en-US"/>
        </w:rPr>
        <w:t xml:space="preserve"> Sanitaria Locale (USL) Toscana Centro, University of Florence, Florence, Italy</w:t>
      </w:r>
    </w:p>
    <w:p w14:paraId="278812AB" w14:textId="77777777" w:rsidR="00D6517D" w:rsidRPr="00825475" w:rsidRDefault="00D6517D" w:rsidP="00D6517D">
      <w:pPr>
        <w:jc w:val="right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16"/>
          <w:szCs w:val="16"/>
          <w:vertAlign w:val="superscript"/>
          <w:lang w:val="en-US"/>
        </w:rPr>
        <w:t>7</w:t>
      </w:r>
    </w:p>
    <w:p w14:paraId="2A410037" w14:textId="77777777" w:rsidR="00D6517D" w:rsidRPr="00825475" w:rsidRDefault="00D6517D" w:rsidP="00D6517D">
      <w:pPr>
        <w:ind w:left="720"/>
        <w:textAlignment w:val="top"/>
        <w:rPr>
          <w:rFonts w:ascii="Arial" w:hAnsi="Arial" w:cs="Arial"/>
          <w:color w:val="737373"/>
          <w:sz w:val="21"/>
          <w:szCs w:val="21"/>
          <w:lang w:val="en-US"/>
        </w:rPr>
      </w:pPr>
      <w:r w:rsidRPr="00825475">
        <w:rPr>
          <w:rFonts w:ascii="Arial" w:hAnsi="Arial" w:cs="Arial"/>
          <w:color w:val="737373"/>
          <w:sz w:val="21"/>
          <w:szCs w:val="21"/>
          <w:lang w:val="en-US"/>
        </w:rPr>
        <w:t>Department of Clinical and Experimental Medicine, University of Pisa, Italy</w:t>
      </w:r>
    </w:p>
    <w:p w14:paraId="1AB20C82" w14:textId="77777777" w:rsidR="00D6517D" w:rsidRPr="00825475" w:rsidRDefault="00D6517D" w:rsidP="00D6517D">
      <w:pPr>
        <w:spacing w:after="240"/>
        <w:rPr>
          <w:rFonts w:ascii="Arial" w:hAnsi="Arial" w:cs="Arial"/>
          <w:color w:val="2E2E2E"/>
          <w:sz w:val="21"/>
          <w:szCs w:val="21"/>
          <w:lang w:val="en-US"/>
        </w:rPr>
      </w:pPr>
      <w:r w:rsidRPr="00825475">
        <w:rPr>
          <w:rFonts w:ascii="Arial" w:hAnsi="Arial" w:cs="Arial"/>
          <w:color w:val="2E2E2E"/>
          <w:sz w:val="21"/>
          <w:szCs w:val="21"/>
          <w:lang w:val="en-US"/>
        </w:rPr>
        <w:t>Received 8 February 2022, Revised 4 October 2022, Accepted 6 October 2022, Available online 13 January 2023.</w:t>
      </w:r>
    </w:p>
    <w:p w14:paraId="3B96987D" w14:textId="77777777" w:rsidR="00D6517D" w:rsidRPr="00825475" w:rsidRDefault="00D6517D" w:rsidP="00D6517D">
      <w:pPr>
        <w:rPr>
          <w:rFonts w:ascii="Arial" w:hAnsi="Arial" w:cs="Arial"/>
          <w:color w:val="2E2E2E"/>
          <w:sz w:val="21"/>
          <w:szCs w:val="21"/>
          <w:lang w:val="en-US"/>
        </w:rPr>
      </w:pPr>
      <w:r w:rsidRPr="00825475">
        <w:rPr>
          <w:rFonts w:ascii="Arial" w:hAnsi="Arial" w:cs="Arial"/>
          <w:b/>
          <w:bCs/>
          <w:color w:val="0C7DBB"/>
          <w:sz w:val="21"/>
          <w:szCs w:val="21"/>
          <w:lang w:val="en-US"/>
        </w:rPr>
        <w:t>Show less</w:t>
      </w:r>
      <w:r>
        <w:rPr>
          <w:rFonts w:ascii="Arial" w:hAnsi="Arial" w:cs="Arial"/>
          <w:b/>
          <w:bCs/>
          <w:color w:val="0C7DBB"/>
          <w:sz w:val="21"/>
          <w:szCs w:val="21"/>
          <w:lang w:val="en-US"/>
        </w:rPr>
        <w:t xml:space="preserve"> </w:t>
      </w:r>
      <w:hyperlink r:id="rId4" w:tgtFrame="_blank" w:tooltip="Persistent link using digital object identifier" w:history="1">
        <w:r w:rsidRPr="00825475">
          <w:rPr>
            <w:rFonts w:ascii="Arial" w:hAnsi="Arial" w:cs="Arial"/>
            <w:color w:val="0C7DBB"/>
            <w:sz w:val="21"/>
            <w:szCs w:val="21"/>
            <w:u w:val="single"/>
            <w:lang w:val="en-US"/>
          </w:rPr>
          <w:t>https://doi.org/10.1016/j.jid.2022.10.025</w:t>
        </w:r>
      </w:hyperlink>
      <w:hyperlink r:id="rId5" w:tgtFrame="_blank" w:history="1">
        <w:r w:rsidRPr="00825475">
          <w:rPr>
            <w:rFonts w:ascii="Arial" w:hAnsi="Arial" w:cs="Arial"/>
            <w:color w:val="0C7DBB"/>
            <w:sz w:val="21"/>
            <w:szCs w:val="21"/>
            <w:u w:val="single"/>
            <w:lang w:val="en-US"/>
          </w:rPr>
          <w:t>Get rights and content</w:t>
        </w:r>
      </w:hyperlink>
    </w:p>
    <w:p w14:paraId="1B64D545" w14:textId="77777777" w:rsidR="00D6517D" w:rsidRPr="00825475" w:rsidRDefault="00D6517D" w:rsidP="00D6517D">
      <w:pPr>
        <w:spacing w:before="480" w:after="240"/>
        <w:outlineLvl w:val="1"/>
        <w:rPr>
          <w:rFonts w:ascii="Georgia" w:hAnsi="Georgia" w:cs="Arial"/>
          <w:b/>
          <w:bCs/>
          <w:color w:val="505050"/>
          <w:sz w:val="36"/>
          <w:szCs w:val="36"/>
          <w:lang w:val="en"/>
        </w:rPr>
      </w:pPr>
      <w:r w:rsidRPr="00825475">
        <w:rPr>
          <w:rFonts w:ascii="Georgia" w:hAnsi="Georgia" w:cs="Arial"/>
          <w:b/>
          <w:bCs/>
          <w:color w:val="505050"/>
          <w:sz w:val="36"/>
          <w:szCs w:val="36"/>
          <w:lang w:val="en"/>
        </w:rPr>
        <w:t>ABSTRACT</w:t>
      </w:r>
    </w:p>
    <w:p w14:paraId="06567416" w14:textId="77777777" w:rsidR="00D6517D" w:rsidRPr="00825475" w:rsidRDefault="00D6517D" w:rsidP="00D6517D">
      <w:pPr>
        <w:spacing w:after="240" w:line="390" w:lineRule="atLeast"/>
        <w:rPr>
          <w:rFonts w:ascii="Georgia" w:hAnsi="Georgia" w:cs="Arial"/>
          <w:color w:val="2E2E2E"/>
          <w:sz w:val="27"/>
          <w:szCs w:val="27"/>
          <w:lang w:val="en"/>
        </w:rPr>
      </w:pP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Psoriasis is a multisystemic inflammatory disorder, mainly involving skin and joints, which etiopathogenesis is still not completely understood. An association with streptococcal throat infection has been suggested.</w:t>
      </w:r>
    </w:p>
    <w:p w14:paraId="3DB0366D" w14:textId="77777777" w:rsidR="00D6517D" w:rsidRPr="00825475" w:rsidRDefault="00D6517D" w:rsidP="00D6517D">
      <w:pPr>
        <w:spacing w:line="390" w:lineRule="atLeast"/>
        <w:rPr>
          <w:rFonts w:ascii="Georgia" w:hAnsi="Georgia" w:cs="Arial"/>
          <w:color w:val="2E2E2E"/>
          <w:sz w:val="27"/>
          <w:szCs w:val="27"/>
          <w:lang w:val="en"/>
        </w:rPr>
      </w:pP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We aim to investigate a correlation between interleukin (IL)-17A and interferon (IFN)-γ production by T-cells infiltrating skin lesions and Psoriasis Area Severity Index in 313 psoriasis patients, compared to 252 healthy controls. The phenotype of </w:t>
      </w:r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β-</w:t>
      </w:r>
      <w:proofErr w:type="spellStart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haemolytic</w:t>
      </w:r>
      <w:proofErr w:type="spellEnd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 xml:space="preserve"> streptococci</w:t>
      </w: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-specific infiltrating T-cells in skin lesions was evaluated and characterized for IFN-γ, IL-4 and IL-17A production. In addition, peripheral blood mononuclear cells were tested by ELISpot for IFN-γ and IL-17A following streptococcal antigens exposure.</w:t>
      </w:r>
    </w:p>
    <w:p w14:paraId="2C24C38C" w14:textId="77777777" w:rsidR="00D6517D" w:rsidRPr="00825475" w:rsidRDefault="00D6517D" w:rsidP="00D6517D">
      <w:pPr>
        <w:spacing w:line="390" w:lineRule="atLeast"/>
        <w:rPr>
          <w:rFonts w:ascii="Georgia" w:hAnsi="Georgia" w:cs="Arial"/>
          <w:color w:val="2E2E2E"/>
          <w:sz w:val="27"/>
          <w:szCs w:val="27"/>
          <w:lang w:val="en"/>
        </w:rPr>
      </w:pP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64 of 313 (20.4%) psoriasis patients had throat streptococcal infection. Of the 3868 skin-derived T-cell clones from psoriasis with streptococcal infection, 66% proliferated in response to </w:t>
      </w:r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β-</w:t>
      </w:r>
      <w:proofErr w:type="spellStart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haemolytic</w:t>
      </w:r>
      <w:proofErr w:type="spellEnd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 xml:space="preserve"> streptococci</w:t>
      </w: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 antigens</w:t>
      </w:r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.</w:t>
      </w: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 Most of </w:t>
      </w:r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β-</w:t>
      </w:r>
      <w:proofErr w:type="spellStart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lastRenderedPageBreak/>
        <w:t>haemolytic</w:t>
      </w:r>
      <w:proofErr w:type="spellEnd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 xml:space="preserve"> streptococci</w:t>
      </w: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 specific T-cells displayed Th17 and Th1 phenotypes. Levels of IFN-γ and IL-17A secreted by skin-infiltrating T cells of psoriatic patients significantly correlated with PASI score. In </w:t>
      </w:r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β-</w:t>
      </w:r>
      <w:proofErr w:type="spellStart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>haemolytic</w:t>
      </w:r>
      <w:proofErr w:type="spellEnd"/>
      <w:r w:rsidRPr="00825475">
        <w:rPr>
          <w:rFonts w:ascii="Georgia" w:hAnsi="Georgia" w:cs="Arial"/>
          <w:i/>
          <w:iCs/>
          <w:color w:val="2E2E2E"/>
          <w:sz w:val="27"/>
          <w:szCs w:val="27"/>
          <w:lang w:val="en"/>
        </w:rPr>
        <w:t xml:space="preserve"> streptococci</w:t>
      </w:r>
      <w:r w:rsidRPr="00825475">
        <w:rPr>
          <w:rFonts w:ascii="Georgia" w:hAnsi="Georgia" w:cs="Arial"/>
          <w:color w:val="2E2E2E"/>
          <w:sz w:val="27"/>
          <w:szCs w:val="27"/>
          <w:lang w:val="en"/>
        </w:rPr>
        <w:t>-positive patients, IFN-γ and IL-17A production by peripheral blood T-cells following stimulation with streptococcal antigens was quantified by ELISpot. The results obtained may suggest ELISpot as useful diagnostic tool to identify psoriasis patients that may deserve antibiotic treatment.</w:t>
      </w:r>
    </w:p>
    <w:p w14:paraId="196EA46F" w14:textId="77777777" w:rsidR="00D6517D" w:rsidRPr="00825475" w:rsidRDefault="00D6517D" w:rsidP="00D6517D">
      <w:pPr>
        <w:pStyle w:val="Corpotesto"/>
        <w:spacing w:line="360" w:lineRule="auto"/>
        <w:jc w:val="both"/>
        <w:rPr>
          <w:sz w:val="24"/>
          <w:lang w:val="en"/>
        </w:rPr>
      </w:pPr>
    </w:p>
    <w:p w14:paraId="44A6F03E" w14:textId="77777777" w:rsidR="00D6517D" w:rsidRPr="008065C8" w:rsidRDefault="00D6517D" w:rsidP="00D6517D">
      <w:pPr>
        <w:rPr>
          <w:lang w:val="en-US"/>
        </w:rPr>
      </w:pPr>
      <w:hyperlink r:id="rId6" w:tgtFrame="_blank" w:history="1">
        <w:r w:rsidRPr="00C62E83">
          <w:rPr>
            <w:rStyle w:val="Collegamentoipertestuale"/>
            <w:rFonts w:ascii="Arial" w:hAnsi="Arial" w:cs="Arial"/>
            <w:color w:val="1155CC"/>
            <w:shd w:val="clear" w:color="auto" w:fill="FFFFFF"/>
            <w:lang w:val="en"/>
          </w:rPr>
          <w:t>https://www.sciencedirect.com/science/article/abs/pii/S0022202X22028998</w:t>
        </w:r>
      </w:hyperlink>
    </w:p>
    <w:p w14:paraId="3C31A5EF" w14:textId="77777777" w:rsidR="008B4A9F" w:rsidRPr="00D6517D" w:rsidRDefault="008B4A9F">
      <w:pPr>
        <w:rPr>
          <w:lang w:val="en-US"/>
        </w:rPr>
      </w:pPr>
    </w:p>
    <w:sectPr w:rsidR="008B4A9F" w:rsidRPr="00D65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7D"/>
    <w:rsid w:val="005E28CA"/>
    <w:rsid w:val="005F1A30"/>
    <w:rsid w:val="008B4A9F"/>
    <w:rsid w:val="00D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B8F"/>
  <w15:chartTrackingRefBased/>
  <w15:docId w15:val="{8F0E6D7F-4B71-4D35-BD17-6BE8949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6517D"/>
    <w:rPr>
      <w:position w:val="6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D6517D"/>
    <w:rPr>
      <w:rFonts w:ascii="Times New Roman" w:eastAsia="Times New Roman" w:hAnsi="Times New Roman" w:cs="Times New Roman"/>
      <w:position w:val="6"/>
      <w:sz w:val="28"/>
      <w:szCs w:val="24"/>
      <w:lang w:eastAsia="it-IT"/>
    </w:rPr>
  </w:style>
  <w:style w:type="character" w:styleId="Collegamentoipertestuale">
    <w:name w:val="Hyperlink"/>
    <w:uiPriority w:val="99"/>
    <w:unhideWhenUsed/>
    <w:rsid w:val="00D65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abs/pii/S0022202X22028998" TargetMode="External"/><Relationship Id="rId5" Type="http://schemas.openxmlformats.org/officeDocument/2006/relationships/hyperlink" Target="https://s100.copyright.com/AppDispatchServlet?publisherName=ELS&amp;contentID=S0022202X22028998&amp;orderBeanReset=true" TargetMode="External"/><Relationship Id="rId4" Type="http://schemas.openxmlformats.org/officeDocument/2006/relationships/hyperlink" Target="https://doi.org/10.1016/j.jid.2022.10.0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Caproni uni</dc:creator>
  <cp:keywords/>
  <dc:description/>
  <cp:lastModifiedBy>Marzia Caproni uni</cp:lastModifiedBy>
  <cp:revision>1</cp:revision>
  <dcterms:created xsi:type="dcterms:W3CDTF">2023-01-25T11:50:00Z</dcterms:created>
  <dcterms:modified xsi:type="dcterms:W3CDTF">2023-01-25T11:51:00Z</dcterms:modified>
</cp:coreProperties>
</file>